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5964E" w14:textId="77777777" w:rsidR="008C4799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u w:val="single"/>
          <w:bdr w:val="none" w:sz="0" w:space="0" w:color="auto" w:frame="1"/>
        </w:rPr>
      </w:pPr>
      <w:r w:rsidRPr="009A5607">
        <w:rPr>
          <w:rStyle w:val="Istaknuto"/>
          <w:rFonts w:asciiTheme="minorHAnsi" w:hAnsiTheme="minorHAnsi"/>
          <w:i w:val="0"/>
          <w:sz w:val="22"/>
          <w:szCs w:val="22"/>
          <w:u w:val="single"/>
          <w:bdr w:val="none" w:sz="0" w:space="0" w:color="auto" w:frame="1"/>
        </w:rPr>
        <w:t>Zaključci</w:t>
      </w:r>
    </w:p>
    <w:p w14:paraId="610423F9" w14:textId="77777777" w:rsidR="008C4799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u w:val="single"/>
          <w:bdr w:val="none" w:sz="0" w:space="0" w:color="auto" w:frame="1"/>
        </w:rPr>
      </w:pPr>
    </w:p>
    <w:p w14:paraId="117164E2" w14:textId="77777777" w:rsidR="0062413E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 w:rsidRPr="004C7C61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Nakon održanih predavanja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u okviru Okruglog stola „</w:t>
      </w:r>
      <w:r w:rsidRPr="00F84D69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Smanjenje udjela soli u pekarskim proizvodima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“ </w:t>
      </w:r>
      <w:r w:rsidRPr="004C7C61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predstavnici pekarske industrije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komentirali su situaciju u javnosti i medijima kojom se konzumacija kruha, u kontekstu prekomjernog sadržaja soli te još nekih drugih razloga, dovodi u nepovoljan položaj u odnosu na druge namirnice te izrazili bojazan da </w:t>
      </w:r>
      <w:r w:rsidR="00DA418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bi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se to izrazito negativno </w:t>
      </w:r>
      <w:r w:rsidR="00DA418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moglo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odrazi</w:t>
      </w:r>
      <w:r w:rsidR="002D4FC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ti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na cijelu pekarsku industriju. </w:t>
      </w:r>
    </w:p>
    <w:p w14:paraId="76E4E830" w14:textId="7342E5F4" w:rsidR="008C4799" w:rsidRPr="00420D0C" w:rsidRDefault="00DA4180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Ravnateljica Hrvatske agencije za hranu istaknula je kako započete aktivnosti nemaju intenciju smanjivanja konzum</w:t>
      </w:r>
      <w:r w:rsidR="0062413E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acije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kruha</w:t>
      </w:r>
      <w:r w:rsidR="00AB602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,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kao jedne od važnih namirnica u ljudskoj prehrani</w:t>
      </w:r>
      <w:r w:rsidR="00F42586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i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baze prehrambene piramide, nego smanjenja soli u kruhu i pekarskim proizvodima </w:t>
      </w:r>
      <w:r w:rsidR="0062413E"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s ciljem</w:t>
      </w:r>
      <w:r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  <w:r w:rsidR="0062413E"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provođenja </w:t>
      </w:r>
      <w:r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kompleksn</w:t>
      </w:r>
      <w:r w:rsidR="0062413E"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og </w:t>
      </w:r>
      <w:r w:rsidR="0062413E" w:rsidRPr="00420D0C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Strateškog plana za smanjenje prekomjernog unosa kuhinjske soli u RH 2015. – 2019.</w:t>
      </w:r>
      <w:r w:rsidR="004C5743" w:rsidRPr="00420D0C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,</w:t>
      </w:r>
      <w:r w:rsidR="0062413E"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  <w:r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općenito</w:t>
      </w:r>
      <w:r w:rsidR="00F42586"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u svrhu zaštite zdravlja potrošača</w:t>
      </w:r>
      <w:r w:rsidRPr="00420D0C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. </w:t>
      </w:r>
    </w:p>
    <w:p w14:paraId="46AC6662" w14:textId="0AC8FC80" w:rsidR="008C4799" w:rsidRDefault="00F84D6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Također, 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istaknuta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je 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važnost osvješćivanja i edukacije svih dobnih skupina po pitanju smanjenja unosa soli putem hrane, a ne samo iz kruha te je dan </w:t>
      </w:r>
      <w:r w:rsidR="008C4799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prijedlog o</w:t>
      </w:r>
      <w:r w:rsidR="001750B4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baveze implementacije Strateškog plana</w:t>
      </w:r>
      <w:r w:rsidR="008C4799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i u okviru sustava školske prehrane</w:t>
      </w:r>
      <w:r w:rsidR="001750B4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.</w:t>
      </w:r>
      <w:r w:rsidR="008C4799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  <w:r w:rsidR="00DA418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Tom p</w:t>
      </w:r>
      <w:r w:rsidR="008C4799" w:rsidRP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r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ilikom predstavnici Hrvatskog zavoda za javno zdravstvo objasnili </w:t>
      </w:r>
      <w:r w:rsidR="00DA418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su 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kako je to pitanje riješeno na način</w:t>
      </w:r>
      <w:r w:rsidR="000A281B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, da je jedna od najvažnijih komponenata Nacionalnog programa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  <w:r w:rsidRPr="00F84D69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Živjeti zdravo</w:t>
      </w:r>
      <w:r w:rsidR="000A281B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upravo zdravstveno obrazovanje u kojem je edukacija o pravilnoj prehrani jedna od najvažnijih stavki. U okviru komponente </w:t>
      </w:r>
      <w:r w:rsidR="000A281B" w:rsidRPr="00F84D69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Zdravlje i prehrana</w:t>
      </w:r>
      <w:r w:rsidR="000A281B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, donesene su </w:t>
      </w:r>
      <w:r w:rsidR="000A281B" w:rsidRPr="00F84D69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Nacionalne smjernice za prehranu školske djece</w:t>
      </w:r>
      <w:r w:rsidR="000A281B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, koje sadržavaju potrebne vrijednosti svih nutritivnih sastojaka, pa tako i soli u prehrani školske djece.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</w:p>
    <w:p w14:paraId="5EE09BA3" w14:textId="0B60B8CB" w:rsidR="008C4799" w:rsidRDefault="001750B4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Nadalje, u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svrhu </w:t>
      </w:r>
      <w:r w:rsidR="00F84D6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poticanja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proizvodnje kruha sa smanjenim udjelom soli predstavljena je inicijativa </w:t>
      </w:r>
      <w:r w:rsidR="008C4799" w:rsidRPr="001750B4">
        <w:rPr>
          <w:rStyle w:val="Istaknuto"/>
          <w:rFonts w:asciiTheme="minorHAnsi" w:hAnsiTheme="minorHAnsi"/>
          <w:sz w:val="22"/>
          <w:szCs w:val="22"/>
          <w:bdr w:val="none" w:sz="0" w:space="0" w:color="auto" w:frame="1"/>
        </w:rPr>
        <w:t>Živjeti zdravo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, kojom bi se dodatno, i bez dodatnih troškova za proizvođače, istaknuli oni koji takav kruh proizvode.</w:t>
      </w:r>
    </w:p>
    <w:p w14:paraId="69BF947A" w14:textId="6F1F6A7C" w:rsidR="008C4799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Vezano uz pitanje odbijanja ovih proizvoda od strane potrošača, pojašnjeno je kako se tako što ne očekuje, sudeći po primjerima iz drugih Europskih zemalja k</w:t>
      </w:r>
      <w:bookmarkStart w:id="0" w:name="_GoBack"/>
      <w:bookmarkEnd w:id="0"/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oje već niz godina provode iste aktivnosti</w:t>
      </w:r>
      <w:r w:rsidR="001750B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. O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vakav slijed aktivnosti, koji najprije obuhvaća smanjenje soli u kruhu, a potom i u drugim namirnicama, a također </w:t>
      </w:r>
      <w:r w:rsid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i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paralelne aktivnosti </w:t>
      </w:r>
      <w:r w:rsid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koje se provode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uključivanjem sektora ugostiteljstva, je uobičajen i pokazao je dobre rezultate. Navedeni su primjeri u</w:t>
      </w:r>
      <w:r w:rsidR="001750B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</w:t>
      </w:r>
      <w:r w:rsidR="00F84D6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Portugalu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, Velikoj Britaniji, Sloveniji, Finskoj te Nizozemskoj. </w:t>
      </w:r>
    </w:p>
    <w:p w14:paraId="75B00B78" w14:textId="09E31348" w:rsidR="008C4799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Ispred Hrvatske gospodarske komore postavljeno je pitanje mogućnosti davanja komentara od strane predstavnika industrije na prijedlog novog Pravilnika o žitaricama i pekarskim proizvodima koji će se donijeti ispred Ministarstva poljoprivrede, a kojim će biti regulirana količina soli u kruhu </w:t>
      </w:r>
      <w:r w:rsidR="00F42C58" w:rsidRPr="00F42C58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gotovom za konzumaciju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. Predstavnica Ministarstva poljoprivrede pojasnila je kako će Pravilnik uskoro doći na javnu raspravu te će svi zainteresirani m</w:t>
      </w:r>
      <w:r w:rsidR="00F42C58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oći dati prijedloge i komentare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.</w:t>
      </w:r>
    </w:p>
    <w:p w14:paraId="7DB50429" w14:textId="77777777" w:rsidR="008C4799" w:rsidRDefault="008C4799" w:rsidP="008C4799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</w:p>
    <w:p w14:paraId="23249D15" w14:textId="7290AA94" w:rsidR="001750B4" w:rsidRDefault="008C4799" w:rsidP="001750B4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Temeljem provedene rasprave,</w:t>
      </w:r>
      <w:r w:rsid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zaključ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e</w:t>
      </w:r>
      <w:r w:rsid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no je kako će R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adna skupina za </w:t>
      </w:r>
      <w:r w:rsidR="00E030B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implementaciju Strateškog plana</w:t>
      </w:r>
      <w:r w:rsidR="001750B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:</w:t>
      </w:r>
    </w:p>
    <w:p w14:paraId="4B087EEC" w14:textId="77777777" w:rsidR="001750B4" w:rsidRDefault="001750B4" w:rsidP="001750B4">
      <w:pPr>
        <w:pStyle w:val="Standard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</w:p>
    <w:p w14:paraId="18ABC775" w14:textId="6D903014" w:rsidR="008C4799" w:rsidRPr="001750B4" w:rsidRDefault="001750B4" w:rsidP="001750B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izraditi </w:t>
      </w:r>
      <w:r w:rsidR="008C4799" w:rsidRPr="001750B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plan aktivnosti za 2016. godinu te okvirni plan aktivnosti za 2017. – 2019. godinu uzimajući u obzir prijedloge dobivene od strane predstavnika </w:t>
      </w:r>
      <w:r w:rsidRPr="001750B4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pekarske industrije,</w:t>
      </w:r>
    </w:p>
    <w:p w14:paraId="110F8ACE" w14:textId="536B00BF" w:rsidR="008C4799" w:rsidRDefault="001750B4" w:rsidP="008C479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k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ontinuirano provoditi edukaciju kako potrošača po različitim dobnim skupinama, tako i proizvođača kruha i pekarskih proizvoda po pitanju nužnosti smanjenog unosa soli kroz prehranu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,</w:t>
      </w:r>
    </w:p>
    <w:p w14:paraId="1C4CB643" w14:textId="73057F66" w:rsidR="008C4799" w:rsidRDefault="001750B4" w:rsidP="008C479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</w:t>
      </w:r>
      <w:r w:rsidR="004C5743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rovesti senzorska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ispitivanja prihvatljivosti kruha sa smanjenim udjelom soli te općenito ispitati senzorski prag okusa s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lanosti na nacionalnoj razini te s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ukladno rezultatima ispitiv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anja, uskladiti plan aktivnosti,</w:t>
      </w:r>
    </w:p>
    <w:p w14:paraId="45F8EF5F" w14:textId="7328BB69" w:rsidR="008C4799" w:rsidRDefault="001750B4" w:rsidP="008C479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lastRenderedPageBreak/>
        <w:t>p</w:t>
      </w:r>
      <w:r w:rsidR="008C4799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romovirati aktivnosti u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okviru programa Živjeti zdravo,</w:t>
      </w:r>
    </w:p>
    <w:p w14:paraId="043B6670" w14:textId="58FCD5C4" w:rsidR="00AE4B08" w:rsidRPr="00E030B0" w:rsidRDefault="006470E3" w:rsidP="006470E3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/>
          <w:iCs/>
          <w:sz w:val="22"/>
          <w:szCs w:val="22"/>
          <w:bdr w:val="none" w:sz="0" w:space="0" w:color="auto" w:frame="1"/>
        </w:rPr>
      </w:pP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p</w:t>
      </w:r>
      <w:r w:rsidRPr="006470E3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okre</w:t>
      </w:r>
      <w:r w:rsidR="00DA4180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nuti</w:t>
      </w:r>
      <w:r w:rsidRPr="006470E3"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 xml:space="preserve"> dijalog s Ministarstvom financija te mogućnost pronalaženja rješenja kroz zakonske odredbe kojim bi se osiguralo uvođenje nižih stopa poreza za </w:t>
      </w:r>
      <w:r>
        <w:rPr>
          <w:rStyle w:val="Istaknuto"/>
          <w:rFonts w:asciiTheme="minorHAnsi" w:hAnsiTheme="minorHAnsi"/>
          <w:i w:val="0"/>
          <w:sz w:val="22"/>
          <w:szCs w:val="22"/>
          <w:bdr w:val="none" w:sz="0" w:space="0" w:color="auto" w:frame="1"/>
        </w:rPr>
        <w:t>definirane kategorije hrane s manjim udjelom soli.</w:t>
      </w:r>
    </w:p>
    <w:sectPr w:rsidR="00AE4B08" w:rsidRPr="00E0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B2262"/>
    <w:multiLevelType w:val="hybridMultilevel"/>
    <w:tmpl w:val="D71AB6B6"/>
    <w:lvl w:ilvl="0" w:tplc="D55A85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99"/>
    <w:rsid w:val="000A281B"/>
    <w:rsid w:val="001750B4"/>
    <w:rsid w:val="002D4FC9"/>
    <w:rsid w:val="00420D0C"/>
    <w:rsid w:val="004C5743"/>
    <w:rsid w:val="0062413E"/>
    <w:rsid w:val="006470E3"/>
    <w:rsid w:val="00857EF0"/>
    <w:rsid w:val="008C4799"/>
    <w:rsid w:val="00AB6024"/>
    <w:rsid w:val="00DA4180"/>
    <w:rsid w:val="00E030B0"/>
    <w:rsid w:val="00E16526"/>
    <w:rsid w:val="00F42586"/>
    <w:rsid w:val="00F42C58"/>
    <w:rsid w:val="00F84D69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ED6"/>
  <w15:docId w15:val="{B8CA9932-7C73-4F8D-AAD9-A404A423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C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C4799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8C47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47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47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47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479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24C4-36E7-4CAF-92D6-11B2B8CA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Vlatka</cp:lastModifiedBy>
  <cp:revision>6</cp:revision>
  <dcterms:created xsi:type="dcterms:W3CDTF">2015-11-09T15:05:00Z</dcterms:created>
  <dcterms:modified xsi:type="dcterms:W3CDTF">2015-11-10T08:40:00Z</dcterms:modified>
</cp:coreProperties>
</file>